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31C2" w:rsidRDefault="00470AC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9131300</wp:posOffset>
                </wp:positionV>
                <wp:extent cx="3392805" cy="28384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4360" y="3642840"/>
                          <a:ext cx="3383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131C2" w:rsidRDefault="00470AC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Web address: www.janesville.k12.wi.us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9131300</wp:posOffset>
                </wp:positionV>
                <wp:extent cx="3392805" cy="283845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2805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294967294" distB="4294967294" distL="114300" distR="114300" simplePos="0" relativeHeight="251659264" behindDoc="0" locked="0" layoutInCell="1" hidden="0" allowOverlap="1">
                <wp:simplePos x="0" y="0"/>
                <wp:positionH relativeFrom="column">
                  <wp:posOffset>-546099</wp:posOffset>
                </wp:positionH>
                <wp:positionV relativeFrom="paragraph">
                  <wp:posOffset>9149095</wp:posOffset>
                </wp:positionV>
                <wp:extent cx="7040880" cy="1270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25560" y="3780000"/>
                          <a:ext cx="70408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9149095</wp:posOffset>
                </wp:positionV>
                <wp:extent cx="7040880" cy="12700"/>
                <wp:effectExtent b="0" l="0" r="0" t="0"/>
                <wp:wrapNone/>
                <wp:docPr id="1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08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31C2" w:rsidRDefault="00D131C2">
      <w:pPr>
        <w:spacing w:after="0" w:line="240" w:lineRule="auto"/>
        <w:ind w:left="720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D131C2" w:rsidRDefault="00D131C2">
      <w:pPr>
        <w:spacing w:after="0" w:line="240" w:lineRule="auto"/>
        <w:ind w:left="720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D131C2" w:rsidRDefault="00D131C2">
      <w:pPr>
        <w:spacing w:after="0" w:line="240" w:lineRule="auto"/>
        <w:rPr>
          <w:rFonts w:ascii="Arial" w:eastAsia="Arial" w:hAnsi="Arial" w:cs="Arial"/>
          <w:b/>
          <w:i/>
          <w:color w:val="0070C0"/>
          <w:sz w:val="24"/>
          <w:szCs w:val="24"/>
          <w:highlight w:val="white"/>
        </w:rPr>
      </w:pPr>
    </w:p>
    <w:p w:rsidR="00D131C2" w:rsidRDefault="00470AC8">
      <w:pPr>
        <w:spacing w:after="0" w:line="240" w:lineRule="auto"/>
        <w:rPr>
          <w:rFonts w:ascii="Arial" w:eastAsia="Arial" w:hAnsi="Arial" w:cs="Arial"/>
          <w:b/>
          <w:i/>
          <w:color w:val="0070C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i/>
          <w:color w:val="0070C0"/>
          <w:sz w:val="24"/>
          <w:szCs w:val="24"/>
          <w:highlight w:val="white"/>
        </w:rPr>
        <w:t>PROOF OF TRAVEL AND MEDICAL INSURANCE:</w:t>
      </w:r>
    </w:p>
    <w:p w:rsidR="00D131C2" w:rsidRDefault="00D131C2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D131C2" w:rsidRDefault="00470AC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highlight w:val="white"/>
        </w:rPr>
        <w:t>All international students enrolled at the School District of Janesville are required to have appropriate medical and travel insurance. This may be a group or individual policy. The insurance policy should be in place before they leave their home to travel</w:t>
      </w:r>
      <w:r>
        <w:rPr>
          <w:rFonts w:ascii="Arial" w:eastAsia="Arial" w:hAnsi="Arial" w:cs="Arial"/>
          <w:color w:val="000000"/>
          <w:highlight w:val="white"/>
        </w:rPr>
        <w:t xml:space="preserve"> to the US. The International coordinator will verify all policies prior to students commencing their studies. </w:t>
      </w:r>
    </w:p>
    <w:p w:rsidR="00D131C2" w:rsidRDefault="00D131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131C2" w:rsidRDefault="00470AC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highlight w:val="white"/>
        </w:rPr>
        <w:t xml:space="preserve">The School District of Janesville has recommended insurers. If these insurers are not used, then the school must be satisfied that the medical </w:t>
      </w:r>
      <w:r>
        <w:rPr>
          <w:rFonts w:ascii="Arial" w:eastAsia="Arial" w:hAnsi="Arial" w:cs="Arial"/>
          <w:color w:val="000000"/>
          <w:highlight w:val="white"/>
        </w:rPr>
        <w:t xml:space="preserve">and travel insurance meets its requirements as listed below. Here are some recommended insurer websites: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https://studenthealthusa.com</w:t>
        </w:r>
      </w:hyperlink>
    </w:p>
    <w:p w:rsidR="00D131C2" w:rsidRDefault="00470AC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 xml:space="preserve">or </w:t>
      </w:r>
      <w:hyperlink r:id="rId11">
        <w:r>
          <w:rPr>
            <w:rFonts w:ascii="Arial" w:eastAsia="Arial" w:hAnsi="Arial" w:cs="Arial"/>
            <w:color w:val="1155CC"/>
            <w:u w:val="single"/>
          </w:rPr>
          <w:t>http://www.internationalstudentinsurance.com/f1student/</w:t>
        </w:r>
      </w:hyperlink>
      <w:r>
        <w:rPr>
          <w:rFonts w:ascii="Arial" w:eastAsia="Arial" w:hAnsi="Arial" w:cs="Arial"/>
          <w:color w:val="000000"/>
        </w:rPr>
        <w:t>:</w:t>
      </w:r>
    </w:p>
    <w:p w:rsidR="00D131C2" w:rsidRDefault="00D131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131C2" w:rsidRDefault="00470AC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Arial" w:eastAsia="Arial" w:hAnsi="Arial" w:cs="Arial"/>
          <w:i/>
          <w:color w:val="000000"/>
          <w:highlight w:val="white"/>
        </w:rPr>
        <w:t>Students are required to supply an English translated copy of the insurance policy and evidence of its currency. This will be</w:t>
      </w:r>
      <w:r>
        <w:rPr>
          <w:rFonts w:ascii="Arial" w:eastAsia="Arial" w:hAnsi="Arial" w:cs="Arial"/>
          <w:i/>
          <w:color w:val="000000"/>
          <w:highlight w:val="white"/>
        </w:rPr>
        <w:t xml:space="preserve"> filed by the International coordinator and will be monitored annually.</w:t>
      </w:r>
    </w:p>
    <w:p w:rsidR="00D131C2" w:rsidRDefault="00D131C2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D131C2" w:rsidRDefault="00470AC8">
      <w:pPr>
        <w:spacing w:after="0" w:line="240" w:lineRule="auto"/>
        <w:rPr>
          <w:rFonts w:ascii="Arial" w:eastAsia="Arial" w:hAnsi="Arial" w:cs="Arial"/>
          <w:b/>
          <w:i/>
          <w:color w:val="000000"/>
          <w:highlight w:val="white"/>
          <w:u w:val="single"/>
        </w:rPr>
      </w:pPr>
      <w:r>
        <w:rPr>
          <w:rFonts w:ascii="Arial" w:eastAsia="Arial" w:hAnsi="Arial" w:cs="Arial"/>
          <w:b/>
          <w:i/>
          <w:color w:val="000000"/>
          <w:highlight w:val="white"/>
          <w:u w:val="single"/>
        </w:rPr>
        <w:t>POLICY REQUIREMENTS:</w:t>
      </w:r>
    </w:p>
    <w:p w:rsidR="00D131C2" w:rsidRDefault="00470AC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highlight w:val="white"/>
        </w:rPr>
        <w:t xml:space="preserve">Medical Insurance minimum coverage requirements: </w:t>
      </w:r>
    </w:p>
    <w:p w:rsidR="00D131C2" w:rsidRDefault="00470A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highlight w:val="white"/>
        </w:rPr>
        <w:t>Medical benefits of at least $100,000 per accident or illness;</w:t>
      </w:r>
    </w:p>
    <w:p w:rsidR="00D131C2" w:rsidRDefault="00470A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highlight w:val="white"/>
        </w:rPr>
        <w:t>E</w:t>
      </w:r>
      <w:r>
        <w:rPr>
          <w:rFonts w:ascii="Arial" w:eastAsia="Arial" w:hAnsi="Arial" w:cs="Arial"/>
          <w:color w:val="000000"/>
          <w:highlight w:val="white"/>
        </w:rPr>
        <w:t xml:space="preserve">mergency evacuation - </w:t>
      </w:r>
      <w:r>
        <w:rPr>
          <w:rFonts w:ascii="Arial" w:eastAsia="Arial" w:hAnsi="Arial" w:cs="Arial"/>
          <w:i/>
          <w:color w:val="000000"/>
          <w:highlight w:val="white"/>
        </w:rPr>
        <w:t xml:space="preserve">minimum coverage for expenses associated </w:t>
      </w:r>
      <w:r>
        <w:rPr>
          <w:rFonts w:ascii="Arial" w:eastAsia="Arial" w:hAnsi="Arial" w:cs="Arial"/>
          <w:i/>
          <w:highlight w:val="white"/>
        </w:rPr>
        <w:t xml:space="preserve">with </w:t>
      </w:r>
      <w:r>
        <w:rPr>
          <w:rFonts w:ascii="Arial" w:eastAsia="Arial" w:hAnsi="Arial" w:cs="Arial"/>
          <w:i/>
          <w:color w:val="000000"/>
          <w:highlight w:val="white"/>
        </w:rPr>
        <w:t>medical evacuation of exchange visitor to his or her home country in the amount of $</w:t>
      </w:r>
      <w:r>
        <w:rPr>
          <w:rFonts w:ascii="Arial" w:eastAsia="Arial" w:hAnsi="Arial" w:cs="Arial"/>
          <w:i/>
          <w:highlight w:val="white"/>
        </w:rPr>
        <w:t>5</w:t>
      </w:r>
      <w:r>
        <w:rPr>
          <w:rFonts w:ascii="Arial" w:eastAsia="Arial" w:hAnsi="Arial" w:cs="Arial"/>
          <w:i/>
          <w:color w:val="000000"/>
          <w:highlight w:val="white"/>
        </w:rPr>
        <w:t>0,000 USD</w:t>
      </w:r>
      <w:r>
        <w:rPr>
          <w:rFonts w:ascii="Arial" w:eastAsia="Arial" w:hAnsi="Arial" w:cs="Arial"/>
          <w:color w:val="000000"/>
          <w:highlight w:val="white"/>
        </w:rPr>
        <w:t xml:space="preserve">, and repatriation of remains - </w:t>
      </w:r>
      <w:r>
        <w:rPr>
          <w:rFonts w:ascii="Arial" w:eastAsia="Arial" w:hAnsi="Arial" w:cs="Arial"/>
          <w:i/>
          <w:color w:val="000000"/>
          <w:highlight w:val="white"/>
        </w:rPr>
        <w:t>minimum coverage amount of $</w:t>
      </w:r>
      <w:r>
        <w:rPr>
          <w:rFonts w:ascii="Arial" w:eastAsia="Arial" w:hAnsi="Arial" w:cs="Arial"/>
          <w:i/>
          <w:highlight w:val="white"/>
        </w:rPr>
        <w:t>25,000</w:t>
      </w:r>
      <w:r>
        <w:rPr>
          <w:rFonts w:ascii="Arial" w:eastAsia="Arial" w:hAnsi="Arial" w:cs="Arial"/>
          <w:i/>
          <w:color w:val="000000"/>
          <w:highlight w:val="white"/>
        </w:rPr>
        <w:t xml:space="preserve"> USD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</w:p>
    <w:p w:rsidR="00D131C2" w:rsidRDefault="00470A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Deductibles not to exceed $500 per accident </w:t>
      </w:r>
      <w:r>
        <w:rPr>
          <w:rFonts w:ascii="Arial" w:eastAsia="Arial" w:hAnsi="Arial" w:cs="Arial"/>
          <w:highlight w:val="white"/>
        </w:rPr>
        <w:t>or illness</w:t>
      </w:r>
    </w:p>
    <w:p w:rsidR="00D131C2" w:rsidRDefault="00470A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>Ensure personal effects are covered and personal liability can be met</w:t>
      </w:r>
    </w:p>
    <w:p w:rsidR="00D131C2" w:rsidRDefault="00470A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>Address continuation should a student have to interrupt their studies</w:t>
      </w:r>
    </w:p>
    <w:p w:rsidR="00D131C2" w:rsidRDefault="00D131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131C2" w:rsidRDefault="00470AC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highlight w:val="white"/>
        </w:rPr>
        <w:t>In assessing the validity of insurance coverage from providers outside the recommended insurers, the sch</w:t>
      </w:r>
      <w:r>
        <w:rPr>
          <w:rFonts w:ascii="Arial" w:eastAsia="Arial" w:hAnsi="Arial" w:cs="Arial"/>
          <w:color w:val="000000"/>
          <w:highlight w:val="white"/>
        </w:rPr>
        <w:t>ool will consider:</w:t>
      </w:r>
    </w:p>
    <w:p w:rsidR="00D131C2" w:rsidRDefault="00470A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>Whether the insurer is a reputable and established experience in the travel insurance business, and has an excellent credit rating</w:t>
      </w:r>
    </w:p>
    <w:p w:rsidR="00D131C2" w:rsidRDefault="00470A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 xml:space="preserve">If the insurer is able to provide emergency 24-hour, 7 </w:t>
      </w:r>
      <w:proofErr w:type="gramStart"/>
      <w:r>
        <w:rPr>
          <w:rFonts w:ascii="Arial" w:eastAsia="Arial" w:hAnsi="Arial" w:cs="Arial"/>
          <w:color w:val="000000"/>
          <w:highlight w:val="white"/>
        </w:rPr>
        <w:t>day</w:t>
      </w:r>
      <w:proofErr w:type="gramEnd"/>
      <w:r>
        <w:rPr>
          <w:rFonts w:ascii="Arial" w:eastAsia="Arial" w:hAnsi="Arial" w:cs="Arial"/>
          <w:color w:val="000000"/>
          <w:highlight w:val="white"/>
        </w:rPr>
        <w:t xml:space="preserve"> a week cover</w:t>
      </w:r>
      <w:r>
        <w:rPr>
          <w:rFonts w:ascii="Arial" w:eastAsia="Arial" w:hAnsi="Arial" w:cs="Arial"/>
          <w:highlight w:val="white"/>
        </w:rPr>
        <w:t>age</w:t>
      </w:r>
    </w:p>
    <w:p w:rsidR="00D131C2" w:rsidRDefault="00470A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highlight w:val="white"/>
        </w:rPr>
        <w:t xml:space="preserve">If students are able to have a </w:t>
      </w:r>
      <w:r>
        <w:rPr>
          <w:rFonts w:ascii="Arial" w:eastAsia="Arial" w:hAnsi="Arial" w:cs="Arial"/>
          <w:color w:val="000000"/>
          <w:highlight w:val="white"/>
        </w:rPr>
        <w:t>“certificate of currency” and policy wording stating that the student has purchased the coverage for the duration of the planned period of study</w:t>
      </w:r>
    </w:p>
    <w:p w:rsidR="00D131C2" w:rsidRDefault="00D131C2"/>
    <w:p w:rsidR="00D131C2" w:rsidRDefault="00470AC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highlight w:val="white"/>
        </w:rPr>
        <w:t>If travel insurance is separate from medical insurance, the travel insurance should include:</w:t>
      </w:r>
    </w:p>
    <w:p w:rsidR="00D131C2" w:rsidRDefault="00470AC8">
      <w:pPr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  <w:highlight w:val="white"/>
        </w:rPr>
        <w:t>Loss of baggage a</w:t>
      </w:r>
      <w:r>
        <w:rPr>
          <w:rFonts w:ascii="Arial" w:eastAsia="Arial" w:hAnsi="Arial" w:cs="Arial"/>
          <w:highlight w:val="white"/>
        </w:rPr>
        <w:t>nd other personal effects</w:t>
      </w:r>
    </w:p>
    <w:p w:rsidR="00D131C2" w:rsidRDefault="00470AC8">
      <w:pPr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  <w:highlight w:val="white"/>
        </w:rPr>
        <w:t>Accident and injury</w:t>
      </w:r>
    </w:p>
    <w:p w:rsidR="00D131C2" w:rsidRDefault="00470AC8">
      <w:pPr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  <w:highlight w:val="white"/>
        </w:rPr>
        <w:t>Disruption to travel plans</w:t>
      </w:r>
    </w:p>
    <w:p w:rsidR="00D131C2" w:rsidRDefault="00470AC8">
      <w:pPr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  <w:highlight w:val="white"/>
        </w:rPr>
        <w:t>The cost of medical care in any “stopover” countries</w:t>
      </w:r>
    </w:p>
    <w:sectPr w:rsidR="00D131C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AC8" w:rsidRDefault="00470AC8">
      <w:pPr>
        <w:spacing w:after="0" w:line="240" w:lineRule="auto"/>
      </w:pPr>
      <w:r>
        <w:separator/>
      </w:r>
    </w:p>
  </w:endnote>
  <w:endnote w:type="continuationSeparator" w:id="0">
    <w:p w:rsidR="00470AC8" w:rsidRDefault="0047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1C2" w:rsidRDefault="00470A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JIEP - F1 Students 20</w:t>
    </w:r>
    <w:r>
      <w:rPr>
        <w:rFonts w:ascii="Times New Roman" w:eastAsia="Times New Roman" w:hAnsi="Times New Roman" w:cs="Times New Roman"/>
        <w:sz w:val="16"/>
        <w:szCs w:val="16"/>
      </w:rPr>
      <w:t>20 - 2021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- PROOF OF TRAVEL AND MEDICAL INSURANCE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AC8" w:rsidRDefault="00470AC8">
      <w:pPr>
        <w:spacing w:after="0" w:line="240" w:lineRule="auto"/>
      </w:pPr>
      <w:r>
        <w:separator/>
      </w:r>
    </w:p>
  </w:footnote>
  <w:footnote w:type="continuationSeparator" w:id="0">
    <w:p w:rsidR="00470AC8" w:rsidRDefault="00470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1C2" w:rsidRDefault="00470A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177800</wp:posOffset>
              </wp:positionV>
              <wp:extent cx="2844165" cy="466725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28680" y="3551400"/>
                        <a:ext cx="283464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131C2" w:rsidRDefault="00470AC8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527 S. Franklin St.  Janesville, WI 53548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br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(608) 743-5055  FAX (608) 743-7491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3556000</wp:posOffset>
              </wp:positionH>
              <wp:positionV relativeFrom="paragraph">
                <wp:posOffset>177800</wp:posOffset>
              </wp:positionV>
              <wp:extent cx="2844165" cy="466725"/>
              <wp:effectExtent b="0" l="0" r="0" t="0"/>
              <wp:wrapNone/>
              <wp:docPr id="18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4416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4294967294" distB="4294967294" distL="114300" distR="114300" simplePos="0" relativeHeight="251659264" behindDoc="0" locked="0" layoutInCell="1" hidden="0" allowOverlap="1">
              <wp:simplePos x="0" y="0"/>
              <wp:positionH relativeFrom="column">
                <wp:posOffset>-546099</wp:posOffset>
              </wp:positionH>
              <wp:positionV relativeFrom="paragraph">
                <wp:posOffset>728995</wp:posOffset>
              </wp:positionV>
              <wp:extent cx="7040880" cy="12700"/>
              <wp:effectExtent l="0" t="0" r="0" b="0"/>
              <wp:wrapNone/>
              <wp:docPr id="14" name="Straight Arrow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25560" y="3780000"/>
                        <a:ext cx="70408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column">
                <wp:posOffset>-546099</wp:posOffset>
              </wp:positionH>
              <wp:positionV relativeFrom="paragraph">
                <wp:posOffset>728995</wp:posOffset>
              </wp:positionV>
              <wp:extent cx="7040880" cy="12700"/>
              <wp:effectExtent b="0" l="0" r="0" t="0"/>
              <wp:wrapNone/>
              <wp:docPr id="1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4088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4294967294" distB="4294967294" distL="114300" distR="114300" simplePos="0" relativeHeight="251660288" behindDoc="0" locked="0" layoutInCell="1" hidden="0" allowOverlap="1">
              <wp:simplePos x="0" y="0"/>
              <wp:positionH relativeFrom="column">
                <wp:posOffset>-546099</wp:posOffset>
              </wp:positionH>
              <wp:positionV relativeFrom="paragraph">
                <wp:posOffset>9149095</wp:posOffset>
              </wp:positionV>
              <wp:extent cx="7040880" cy="12700"/>
              <wp:effectExtent l="0" t="0" r="0" b="0"/>
              <wp:wrapNone/>
              <wp:docPr id="15" name="Straight Arrow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25560" y="3780000"/>
                        <a:ext cx="70408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column">
                <wp:posOffset>-546099</wp:posOffset>
              </wp:positionH>
              <wp:positionV relativeFrom="paragraph">
                <wp:posOffset>9149095</wp:posOffset>
              </wp:positionV>
              <wp:extent cx="7040880" cy="12700"/>
              <wp:effectExtent b="0" l="0" r="0" t="0"/>
              <wp:wrapNone/>
              <wp:docPr id="1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4088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-304799</wp:posOffset>
              </wp:positionH>
              <wp:positionV relativeFrom="paragraph">
                <wp:posOffset>177800</wp:posOffset>
              </wp:positionV>
              <wp:extent cx="2516505" cy="466725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92510" y="3551400"/>
                        <a:ext cx="25069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131C2" w:rsidRDefault="00470AC8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>Educational Services Center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br/>
                            <w:t xml:space="preserve"> International Education Programs Office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-304799</wp:posOffset>
              </wp:positionH>
              <wp:positionV relativeFrom="paragraph">
                <wp:posOffset>177800</wp:posOffset>
              </wp:positionV>
              <wp:extent cx="2516505" cy="466725"/>
              <wp:effectExtent b="0" l="0" r="0" t="0"/>
              <wp:wrapNone/>
              <wp:docPr id="1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650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2277110</wp:posOffset>
          </wp:positionH>
          <wp:positionV relativeFrom="paragraph">
            <wp:posOffset>-120649</wp:posOffset>
          </wp:positionV>
          <wp:extent cx="1289050" cy="996315"/>
          <wp:effectExtent l="0" t="0" r="0" b="0"/>
          <wp:wrapNone/>
          <wp:docPr id="19" name="image1.jpg" descr="Description: SDJ Large colo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SDJ Large color logo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9050" cy="996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131C2" w:rsidRDefault="00D131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D131C2" w:rsidRDefault="00D131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1EB9"/>
    <w:multiLevelType w:val="multilevel"/>
    <w:tmpl w:val="A0A2E58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E45B4"/>
    <w:multiLevelType w:val="multilevel"/>
    <w:tmpl w:val="9222AAE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B60FE"/>
    <w:multiLevelType w:val="multilevel"/>
    <w:tmpl w:val="5F8E5C3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C2"/>
    <w:rsid w:val="002254FC"/>
    <w:rsid w:val="00470AC8"/>
    <w:rsid w:val="00D1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A70AF-0696-4840-A5D0-2F7E95D7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8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10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8100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810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03"/>
  </w:style>
  <w:style w:type="paragraph" w:styleId="ListParagraph">
    <w:name w:val="List Paragraph"/>
    <w:basedOn w:val="Normal"/>
    <w:uiPriority w:val="34"/>
    <w:qFormat/>
    <w:rsid w:val="0088100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nationalstudentinsurance.com/f1studen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udenthealthusa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7.png"/><Relationship Id="rId5" Type="http://schemas.openxmlformats.org/officeDocument/2006/relationships/image" Target="media/image1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b+XtED5kvqj5UML64vAQbHXJBQ==">AMUW2mWZvwBL3PQ9gqEwNsh4zyvKoaKDM6MPYChW5LiJCToE9g6mu4iABLC2zz87sbOIWF8C6osPxRtJ9ijUvFZtVmRkeOm47Ah9Rqus8i3rU50BNfxq5iXoyNxrRO0fnj6FvR5H2Sj5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Klingaman</dc:creator>
  <cp:lastModifiedBy>MARY CHRISTENSEN</cp:lastModifiedBy>
  <cp:revision>2</cp:revision>
  <dcterms:created xsi:type="dcterms:W3CDTF">2020-06-23T16:36:00Z</dcterms:created>
  <dcterms:modified xsi:type="dcterms:W3CDTF">2020-06-23T16:36:00Z</dcterms:modified>
</cp:coreProperties>
</file>